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0" w:rsidRPr="002B0F40" w:rsidRDefault="002B0F40" w:rsidP="002B0F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r w:rsidRPr="002B0F40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Консультации для родителей</w:t>
      </w:r>
    </w:p>
    <w:p w:rsidR="002B0F40" w:rsidRDefault="002B0F40" w:rsidP="002B0F40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2B0F40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Готовность к школе: Что мы не понимаем?</w:t>
      </w:r>
    </w:p>
    <w:p w:rsidR="002B0F40" w:rsidRPr="002B0F40" w:rsidRDefault="002B0F40" w:rsidP="002B0F40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 xml:space="preserve">Подготовила воспитатель  </w:t>
      </w:r>
      <w:proofErr w:type="spellStart"/>
      <w:r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Трыкова</w:t>
      </w:r>
      <w:proofErr w:type="spellEnd"/>
      <w:r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 xml:space="preserve"> А.В.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Напридумывали</w:t>
      </w:r>
      <w:proofErr w:type="spell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u w:val="single"/>
          <w:lang w:eastAsia="ru-RU"/>
        </w:rPr>
        <w:t>Действительно, что значит — «не готов»?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 xml:space="preserve">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готовы</w:t>
      </w:r>
      <w:proofErr w:type="gram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u w:val="single"/>
          <w:lang w:eastAsia="ru-RU"/>
        </w:rPr>
        <w:t>В чём же суть «готовности»?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Готовность – это определённый уровень психического развития человека. Не набор некоторых умений и 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 </w:t>
      </w:r>
      <w:r w:rsidRPr="002B0F40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eastAsia="ru-RU"/>
        </w:rPr>
        <w:t>(мол, купите – и дело будет в шляпе)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u w:val="single"/>
          <w:lang w:eastAsia="ru-RU"/>
        </w:rPr>
        <w:t>Что отличает ребёнка, готового к школе?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u w:val="single"/>
          <w:lang w:eastAsia="ru-RU"/>
        </w:rPr>
        <w:t>Во-первых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такой ребёнок должен уметь видеть учебную задачу, принимать её. Д. Б. </w:t>
      </w:r>
      <w:proofErr w:type="spell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Эльконин</w:t>
      </w:r>
      <w:proofErr w:type="spell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это значит: они не могут принимать учебную задачу, не видят 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её. Почему? потому что они не готовы к школьному обучению.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u w:val="single"/>
          <w:lang w:eastAsia="ru-RU"/>
        </w:rPr>
        <w:t>Во-вторых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Готовы</w:t>
      </w:r>
      <w:proofErr w:type="gram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 школе? Не готовы.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u w:val="single"/>
          <w:lang w:eastAsia="ru-RU"/>
        </w:rPr>
        <w:t>Третья составляющая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 xml:space="preserve">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Местоимение «я» для них тотально: не я в конкретной деятельности, а «я» вообще, в целом.</w:t>
      </w:r>
      <w:proofErr w:type="gram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И, наконец, 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u w:val="single"/>
          <w:lang w:eastAsia="ru-RU"/>
        </w:rPr>
        <w:t>четвёртая составляющая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рефлексирует</w:t>
      </w:r>
      <w:proofErr w:type="spell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Д. Б. </w:t>
      </w:r>
      <w:proofErr w:type="spell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Эльконин</w:t>
      </w:r>
      <w:proofErr w:type="spell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 своё время проводил эксперимент по изучению </w:t>
      </w:r>
      <w:proofErr w:type="spellStart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процессуальности</w:t>
      </w:r>
      <w:proofErr w:type="spellEnd"/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</w:t>
      </w: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чтобы понять принцип управления механизмом. Главным был для них вопрос «как?», а не «что?».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Вот такие специфические составляющие школьной готовности.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2B0F40" w:rsidRPr="002B0F40" w:rsidRDefault="002B0F40" w:rsidP="002B0F40">
      <w:pPr>
        <w:spacing w:before="124" w:after="124" w:line="447" w:lineRule="atLeast"/>
        <w:ind w:firstLine="29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B0F4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Он ещё не доиграл.</w:t>
      </w:r>
    </w:p>
    <w:p w:rsidR="00557A34" w:rsidRDefault="00557A34"/>
    <w:sectPr w:rsidR="00557A34" w:rsidSect="005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0F40"/>
    <w:rsid w:val="002B0F40"/>
    <w:rsid w:val="0055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4"/>
  </w:style>
  <w:style w:type="paragraph" w:styleId="2">
    <w:name w:val="heading 2"/>
    <w:basedOn w:val="a"/>
    <w:link w:val="20"/>
    <w:uiPriority w:val="9"/>
    <w:qFormat/>
    <w:rsid w:val="002B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0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0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2021-03-31T07:58:00Z</dcterms:created>
  <dcterms:modified xsi:type="dcterms:W3CDTF">2021-03-31T07:59:00Z</dcterms:modified>
</cp:coreProperties>
</file>